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EB" w:rsidRPr="0049263E" w:rsidRDefault="00C02DEB" w:rsidP="00C02DEB">
      <w:pPr>
        <w:suppressAutoHyphens w:val="0"/>
        <w:rPr>
          <w:b/>
          <w:sz w:val="24"/>
          <w:szCs w:val="24"/>
          <w:lang w:val="sl-SI" w:eastAsia="sl-SI"/>
        </w:rPr>
      </w:pPr>
      <w:r w:rsidRPr="0049263E">
        <w:rPr>
          <w:b/>
          <w:sz w:val="24"/>
          <w:szCs w:val="24"/>
          <w:lang w:val="sl-SI" w:eastAsia="sl-SI"/>
        </w:rPr>
        <w:t>Učinkovitost  herbicidov za zatiranje novih invazivnih plevelov v posevkih soje</w:t>
      </w:r>
    </w:p>
    <w:p w:rsidR="00C02DEB" w:rsidRDefault="00C02DEB" w:rsidP="00C02DEB">
      <w:pPr>
        <w:suppressAutoHyphens w:val="0"/>
        <w:rPr>
          <w:sz w:val="24"/>
          <w:szCs w:val="24"/>
          <w:lang w:val="sl-SI" w:eastAsia="sl-SI"/>
        </w:rPr>
      </w:pPr>
    </w:p>
    <w:p w:rsidR="00C02DEB" w:rsidRPr="0049263E" w:rsidRDefault="00C02DEB" w:rsidP="00C02DEB">
      <w:pPr>
        <w:suppressAutoHyphens w:val="0"/>
        <w:rPr>
          <w:sz w:val="24"/>
          <w:szCs w:val="24"/>
          <w:vertAlign w:val="superscript"/>
          <w:lang w:val="sl-SI" w:eastAsia="sl-SI"/>
        </w:rPr>
      </w:pPr>
      <w:r w:rsidRPr="0049263E">
        <w:rPr>
          <w:sz w:val="24"/>
          <w:szCs w:val="24"/>
          <w:lang w:val="sl-SI" w:eastAsia="sl-SI"/>
        </w:rPr>
        <w:t xml:space="preserve">Stanislav </w:t>
      </w:r>
      <w:proofErr w:type="spellStart"/>
      <w:r w:rsidRPr="0049263E">
        <w:rPr>
          <w:sz w:val="24"/>
          <w:szCs w:val="24"/>
          <w:lang w:val="sl-SI" w:eastAsia="sl-SI"/>
        </w:rPr>
        <w:t>VAJS</w:t>
      </w:r>
      <w:r w:rsidRPr="0049263E">
        <w:rPr>
          <w:sz w:val="24"/>
          <w:szCs w:val="24"/>
          <w:vertAlign w:val="superscript"/>
          <w:lang w:val="sl-SI" w:eastAsia="sl-SI"/>
        </w:rPr>
        <w:t>1</w:t>
      </w:r>
      <w:proofErr w:type="spellEnd"/>
      <w:r w:rsidRPr="0049263E">
        <w:rPr>
          <w:sz w:val="24"/>
          <w:szCs w:val="24"/>
          <w:lang w:val="sl-SI" w:eastAsia="sl-SI"/>
        </w:rPr>
        <w:t xml:space="preserve">, Mario </w:t>
      </w:r>
      <w:proofErr w:type="spellStart"/>
      <w:r w:rsidRPr="0049263E">
        <w:rPr>
          <w:sz w:val="24"/>
          <w:szCs w:val="24"/>
          <w:lang w:val="sl-SI" w:eastAsia="sl-SI"/>
        </w:rPr>
        <w:t>LEŠNIK</w:t>
      </w:r>
      <w:r w:rsidRPr="0049263E">
        <w:rPr>
          <w:sz w:val="24"/>
          <w:szCs w:val="24"/>
          <w:vertAlign w:val="superscript"/>
          <w:lang w:val="sl-SI" w:eastAsia="sl-SI"/>
        </w:rPr>
        <w:t>1</w:t>
      </w:r>
      <w:proofErr w:type="spellEnd"/>
      <w:r w:rsidRPr="0049263E">
        <w:rPr>
          <w:sz w:val="24"/>
          <w:szCs w:val="24"/>
          <w:lang w:val="sl-SI" w:eastAsia="sl-SI"/>
        </w:rPr>
        <w:t xml:space="preserve">, Jože </w:t>
      </w:r>
      <w:proofErr w:type="spellStart"/>
      <w:r w:rsidRPr="0049263E">
        <w:rPr>
          <w:sz w:val="24"/>
          <w:szCs w:val="24"/>
          <w:lang w:val="sl-SI" w:eastAsia="sl-SI"/>
        </w:rPr>
        <w:t>MIKLAVC</w:t>
      </w:r>
      <w:r>
        <w:rPr>
          <w:sz w:val="24"/>
          <w:szCs w:val="24"/>
          <w:vertAlign w:val="superscript"/>
          <w:lang w:val="sl-SI" w:eastAsia="sl-SI"/>
        </w:rPr>
        <w:t>2</w:t>
      </w:r>
      <w:proofErr w:type="spellEnd"/>
      <w:r w:rsidRPr="0049263E">
        <w:rPr>
          <w:sz w:val="24"/>
          <w:szCs w:val="24"/>
          <w:lang w:val="sl-SI" w:eastAsia="sl-SI"/>
        </w:rPr>
        <w:t xml:space="preserve">, Boštjan </w:t>
      </w:r>
      <w:proofErr w:type="spellStart"/>
      <w:r w:rsidRPr="0049263E">
        <w:rPr>
          <w:sz w:val="24"/>
          <w:szCs w:val="24"/>
          <w:lang w:val="sl-SI" w:eastAsia="sl-SI"/>
        </w:rPr>
        <w:t>MATKO</w:t>
      </w:r>
      <w:r>
        <w:rPr>
          <w:sz w:val="24"/>
          <w:szCs w:val="24"/>
          <w:vertAlign w:val="superscript"/>
          <w:lang w:val="sl-SI" w:eastAsia="sl-SI"/>
        </w:rPr>
        <w:t>2</w:t>
      </w:r>
      <w:proofErr w:type="spellEnd"/>
      <w:r w:rsidRPr="0049263E">
        <w:rPr>
          <w:sz w:val="24"/>
          <w:szCs w:val="24"/>
          <w:vertAlign w:val="superscript"/>
          <w:lang w:val="sl-SI" w:eastAsia="sl-SI"/>
        </w:rPr>
        <w:t xml:space="preserve"> </w:t>
      </w:r>
      <w:r w:rsidRPr="0049263E">
        <w:rPr>
          <w:sz w:val="24"/>
          <w:szCs w:val="24"/>
          <w:lang w:val="sl-SI" w:eastAsia="sl-SI"/>
        </w:rPr>
        <w:t xml:space="preserve">, Miroslav </w:t>
      </w:r>
      <w:proofErr w:type="spellStart"/>
      <w:r w:rsidRPr="0049263E">
        <w:rPr>
          <w:sz w:val="24"/>
          <w:szCs w:val="24"/>
          <w:lang w:val="sl-SI" w:eastAsia="sl-SI"/>
        </w:rPr>
        <w:t>MEŠL</w:t>
      </w:r>
      <w:r>
        <w:rPr>
          <w:sz w:val="24"/>
          <w:szCs w:val="24"/>
          <w:vertAlign w:val="superscript"/>
          <w:lang w:val="sl-SI" w:eastAsia="sl-SI"/>
        </w:rPr>
        <w:t>2</w:t>
      </w:r>
      <w:proofErr w:type="spellEnd"/>
    </w:p>
    <w:p w:rsidR="00C02DEB" w:rsidRPr="0049263E" w:rsidRDefault="00C02DEB" w:rsidP="00C02DEB">
      <w:pPr>
        <w:suppressAutoHyphens w:val="0"/>
        <w:rPr>
          <w:sz w:val="24"/>
          <w:szCs w:val="24"/>
          <w:vertAlign w:val="superscript"/>
          <w:lang w:val="sl-SI" w:eastAsia="sl-SI"/>
        </w:rPr>
      </w:pPr>
    </w:p>
    <w:p w:rsidR="00C02DEB" w:rsidRPr="0049263E" w:rsidRDefault="00C02DEB" w:rsidP="00C02DEB">
      <w:pPr>
        <w:suppressAutoHyphens w:val="0"/>
        <w:rPr>
          <w:sz w:val="24"/>
          <w:szCs w:val="24"/>
          <w:lang w:val="sl-SI" w:eastAsia="sl-SI"/>
        </w:rPr>
      </w:pPr>
      <w:proofErr w:type="spellStart"/>
      <w:r w:rsidRPr="0049263E">
        <w:rPr>
          <w:sz w:val="24"/>
          <w:szCs w:val="24"/>
          <w:vertAlign w:val="superscript"/>
          <w:lang w:val="sl-SI" w:eastAsia="sl-SI"/>
        </w:rPr>
        <w:t>1</w:t>
      </w:r>
      <w:r w:rsidRPr="0049263E">
        <w:rPr>
          <w:sz w:val="24"/>
          <w:szCs w:val="24"/>
          <w:lang w:val="sl-SI" w:eastAsia="sl-SI"/>
        </w:rPr>
        <w:t>Fakulteta</w:t>
      </w:r>
      <w:proofErr w:type="spellEnd"/>
      <w:r w:rsidRPr="0049263E">
        <w:rPr>
          <w:sz w:val="24"/>
          <w:szCs w:val="24"/>
          <w:lang w:val="sl-SI" w:eastAsia="sl-SI"/>
        </w:rPr>
        <w:t xml:space="preserve"> za kmetijstvo in </w:t>
      </w:r>
      <w:proofErr w:type="spellStart"/>
      <w:r w:rsidRPr="0049263E">
        <w:rPr>
          <w:sz w:val="24"/>
          <w:szCs w:val="24"/>
          <w:lang w:val="sl-SI" w:eastAsia="sl-SI"/>
        </w:rPr>
        <w:t>biosistemske</w:t>
      </w:r>
      <w:proofErr w:type="spellEnd"/>
      <w:r w:rsidRPr="0049263E">
        <w:rPr>
          <w:sz w:val="24"/>
          <w:szCs w:val="24"/>
          <w:lang w:val="sl-SI" w:eastAsia="sl-SI"/>
        </w:rPr>
        <w:t xml:space="preserve"> vede Maribor</w:t>
      </w:r>
      <w:r>
        <w:rPr>
          <w:sz w:val="24"/>
          <w:szCs w:val="24"/>
          <w:lang w:val="sl-SI" w:eastAsia="sl-SI"/>
        </w:rPr>
        <w:t>, Pivola 10, SI-2311 Hoče (</w:t>
      </w:r>
      <w:proofErr w:type="spellStart"/>
      <w:r w:rsidRPr="009D48C2">
        <w:rPr>
          <w:i/>
          <w:sz w:val="24"/>
          <w:szCs w:val="24"/>
          <w:lang w:val="sl-SI" w:eastAsia="sl-SI"/>
        </w:rPr>
        <w:t>stanislav.vajs@um.si</w:t>
      </w:r>
      <w:proofErr w:type="spellEnd"/>
      <w:r>
        <w:rPr>
          <w:sz w:val="24"/>
          <w:szCs w:val="24"/>
          <w:lang w:val="sl-SI" w:eastAsia="sl-SI"/>
        </w:rPr>
        <w:t>)</w:t>
      </w:r>
      <w:r w:rsidRPr="0049263E">
        <w:rPr>
          <w:sz w:val="24"/>
          <w:szCs w:val="24"/>
          <w:lang w:val="sl-SI" w:eastAsia="sl-SI"/>
        </w:rPr>
        <w:t xml:space="preserve"> </w:t>
      </w:r>
    </w:p>
    <w:p w:rsidR="00C02DEB" w:rsidRPr="0049263E" w:rsidRDefault="00C02DEB" w:rsidP="00C02DEB">
      <w:pPr>
        <w:suppressAutoHyphens w:val="0"/>
        <w:rPr>
          <w:sz w:val="24"/>
          <w:szCs w:val="24"/>
          <w:vertAlign w:val="superscript"/>
          <w:lang w:val="sl-SI" w:eastAsia="sl-SI"/>
        </w:rPr>
      </w:pPr>
      <w:proofErr w:type="spellStart"/>
      <w:r>
        <w:rPr>
          <w:sz w:val="24"/>
          <w:szCs w:val="24"/>
          <w:vertAlign w:val="superscript"/>
          <w:lang w:val="sl-SI" w:eastAsia="sl-SI"/>
        </w:rPr>
        <w:t>2</w:t>
      </w:r>
      <w:r w:rsidRPr="0049263E">
        <w:rPr>
          <w:sz w:val="24"/>
          <w:szCs w:val="24"/>
          <w:lang w:val="sl-SI" w:eastAsia="sl-SI"/>
        </w:rPr>
        <w:t>Kmetijsko</w:t>
      </w:r>
      <w:proofErr w:type="spellEnd"/>
      <w:r w:rsidRPr="0049263E">
        <w:rPr>
          <w:sz w:val="24"/>
          <w:szCs w:val="24"/>
          <w:lang w:val="sl-SI" w:eastAsia="sl-SI"/>
        </w:rPr>
        <w:t xml:space="preserve"> gozdarska zbornica Slovenije, Kmetijsko gozdarski zavod Maribor</w:t>
      </w:r>
      <w:r>
        <w:rPr>
          <w:sz w:val="24"/>
          <w:szCs w:val="24"/>
          <w:lang w:val="sl-SI" w:eastAsia="sl-SI"/>
        </w:rPr>
        <w:t>, Vinarska 14, SI-2000 Maribor</w:t>
      </w:r>
    </w:p>
    <w:p w:rsidR="00C02DEB" w:rsidRPr="0049263E" w:rsidRDefault="00C02DEB" w:rsidP="00C02DEB">
      <w:pPr>
        <w:suppressAutoHyphens w:val="0"/>
        <w:rPr>
          <w:sz w:val="24"/>
          <w:szCs w:val="24"/>
          <w:lang w:val="sl-SI" w:eastAsia="sl-SI"/>
        </w:rPr>
      </w:pPr>
    </w:p>
    <w:p w:rsidR="00C02DEB" w:rsidRPr="0049263E" w:rsidRDefault="00C02DEB" w:rsidP="00C02DEB">
      <w:pPr>
        <w:suppressAutoHyphens w:val="0"/>
        <w:jc w:val="both"/>
        <w:rPr>
          <w:sz w:val="24"/>
          <w:szCs w:val="24"/>
          <w:lang w:val="sl-SI" w:eastAsia="sl-SI"/>
        </w:rPr>
      </w:pPr>
      <w:r w:rsidRPr="0049263E">
        <w:rPr>
          <w:sz w:val="24"/>
          <w:szCs w:val="24"/>
          <w:lang w:val="sl-SI" w:eastAsia="sl-SI"/>
        </w:rPr>
        <w:t>V poljskem poskusu smo v letu 2014 v posevku soje preučevali biotično učinkovitost herbicidov za zatiranje tujerodnih invazivnih plevelov.  Poskus je bil zasnovan v bločni zasnovi z 9 obravnavanji (herbicidnimi programi) v štirih ponovitvah. Aplikacija herbicidov je bila izvedena z nahrbtno škropilnico na stisnjen zrak v dveh različnih terminih. Poraba škropilne brozge je znašala 350 l ha</w:t>
      </w:r>
      <w:r w:rsidRPr="0049263E">
        <w:rPr>
          <w:sz w:val="24"/>
          <w:szCs w:val="24"/>
          <w:vertAlign w:val="superscript"/>
          <w:lang w:val="sl-SI" w:eastAsia="sl-SI"/>
        </w:rPr>
        <w:t>-1</w:t>
      </w:r>
      <w:r w:rsidRPr="0049263E">
        <w:rPr>
          <w:sz w:val="24"/>
          <w:szCs w:val="24"/>
          <w:lang w:val="sl-SI" w:eastAsia="sl-SI"/>
        </w:rPr>
        <w:t xml:space="preserve">. Izvedeni sta bili dve ocenjevanji biotične učinkovitosti izbranih herbicidnih kombinacij na invazivne plevele iz rodov  </w:t>
      </w:r>
      <w:proofErr w:type="spellStart"/>
      <w:r w:rsidRPr="0049263E">
        <w:rPr>
          <w:i/>
          <w:sz w:val="24"/>
          <w:szCs w:val="24"/>
          <w:lang w:val="sl-SI" w:eastAsia="sl-SI"/>
        </w:rPr>
        <w:t>Ambrosia</w:t>
      </w:r>
      <w:proofErr w:type="spellEnd"/>
      <w:r w:rsidRPr="0049263E">
        <w:rPr>
          <w:sz w:val="24"/>
          <w:szCs w:val="24"/>
          <w:lang w:val="sl-SI" w:eastAsia="sl-SI"/>
        </w:rPr>
        <w:t xml:space="preserve">, </w:t>
      </w:r>
      <w:proofErr w:type="spellStart"/>
      <w:r w:rsidRPr="0049263E">
        <w:rPr>
          <w:i/>
          <w:sz w:val="24"/>
          <w:szCs w:val="24"/>
          <w:lang w:val="sl-SI" w:eastAsia="sl-SI"/>
        </w:rPr>
        <w:t>Amaranthus</w:t>
      </w:r>
      <w:proofErr w:type="spellEnd"/>
      <w:r w:rsidRPr="0049263E">
        <w:rPr>
          <w:sz w:val="24"/>
          <w:szCs w:val="24"/>
          <w:lang w:val="sl-SI" w:eastAsia="sl-SI"/>
        </w:rPr>
        <w:t xml:space="preserve">, </w:t>
      </w:r>
      <w:r w:rsidRPr="0049263E">
        <w:rPr>
          <w:i/>
          <w:sz w:val="24"/>
          <w:szCs w:val="24"/>
          <w:lang w:val="sl-SI" w:eastAsia="sl-SI"/>
        </w:rPr>
        <w:t>Iva</w:t>
      </w:r>
      <w:r w:rsidRPr="0049263E">
        <w:rPr>
          <w:sz w:val="24"/>
          <w:szCs w:val="24"/>
          <w:lang w:val="sl-SI" w:eastAsia="sl-SI"/>
        </w:rPr>
        <w:t xml:space="preserve">, </w:t>
      </w:r>
      <w:proofErr w:type="spellStart"/>
      <w:r w:rsidRPr="0049263E">
        <w:rPr>
          <w:i/>
          <w:sz w:val="24"/>
          <w:szCs w:val="24"/>
          <w:lang w:val="sl-SI" w:eastAsia="sl-SI"/>
        </w:rPr>
        <w:t>Datura</w:t>
      </w:r>
      <w:proofErr w:type="spellEnd"/>
      <w:r w:rsidRPr="0049263E">
        <w:rPr>
          <w:sz w:val="24"/>
          <w:szCs w:val="24"/>
          <w:lang w:val="sl-SI" w:eastAsia="sl-SI"/>
        </w:rPr>
        <w:t xml:space="preserve">, </w:t>
      </w:r>
      <w:proofErr w:type="spellStart"/>
      <w:r w:rsidRPr="0049263E">
        <w:rPr>
          <w:i/>
          <w:sz w:val="24"/>
          <w:szCs w:val="24"/>
          <w:lang w:val="sl-SI" w:eastAsia="sl-SI"/>
        </w:rPr>
        <w:t>Sida</w:t>
      </w:r>
      <w:proofErr w:type="spellEnd"/>
      <w:r w:rsidRPr="0049263E">
        <w:rPr>
          <w:i/>
          <w:sz w:val="24"/>
          <w:szCs w:val="24"/>
          <w:lang w:val="sl-SI" w:eastAsia="sl-SI"/>
        </w:rPr>
        <w:t>,</w:t>
      </w:r>
      <w:r w:rsidRPr="0049263E">
        <w:rPr>
          <w:sz w:val="24"/>
          <w:szCs w:val="24"/>
          <w:lang w:val="sl-SI" w:eastAsia="sl-SI"/>
        </w:rPr>
        <w:t xml:space="preserve"> </w:t>
      </w:r>
      <w:proofErr w:type="spellStart"/>
      <w:r w:rsidRPr="0049263E">
        <w:rPr>
          <w:i/>
          <w:sz w:val="24"/>
          <w:szCs w:val="24"/>
          <w:lang w:val="sl-SI" w:eastAsia="sl-SI"/>
        </w:rPr>
        <w:t>Bidens</w:t>
      </w:r>
      <w:proofErr w:type="spellEnd"/>
      <w:r w:rsidRPr="0049263E">
        <w:rPr>
          <w:sz w:val="24"/>
          <w:szCs w:val="24"/>
          <w:lang w:val="sl-SI" w:eastAsia="sl-SI"/>
        </w:rPr>
        <w:t xml:space="preserve">, </w:t>
      </w:r>
      <w:proofErr w:type="spellStart"/>
      <w:r w:rsidRPr="0049263E">
        <w:rPr>
          <w:i/>
          <w:sz w:val="24"/>
          <w:szCs w:val="24"/>
          <w:lang w:val="sl-SI" w:eastAsia="sl-SI"/>
        </w:rPr>
        <w:t>Solanum</w:t>
      </w:r>
      <w:proofErr w:type="spellEnd"/>
      <w:r w:rsidRPr="0049263E">
        <w:rPr>
          <w:sz w:val="24"/>
          <w:szCs w:val="24"/>
          <w:lang w:val="sl-SI" w:eastAsia="sl-SI"/>
        </w:rPr>
        <w:t xml:space="preserve"> in </w:t>
      </w:r>
      <w:proofErr w:type="spellStart"/>
      <w:r w:rsidRPr="0049263E">
        <w:rPr>
          <w:i/>
          <w:sz w:val="24"/>
          <w:szCs w:val="24"/>
          <w:lang w:val="sl-SI" w:eastAsia="sl-SI"/>
        </w:rPr>
        <w:t>Ipomea</w:t>
      </w:r>
      <w:proofErr w:type="spellEnd"/>
      <w:r w:rsidRPr="0049263E">
        <w:rPr>
          <w:sz w:val="24"/>
          <w:szCs w:val="24"/>
          <w:lang w:val="sl-SI" w:eastAsia="sl-SI"/>
        </w:rPr>
        <w:t>. Prikazani so podatki o učinkovitosti posameznih mešanic herbicidov za zatiranje posameznih plevelov. S herbicidi, ki jih imamo v Sloveniji registrirane za uporabo v posevkih soje ni možno zagotoviti učinkovitega zatiranja preučevanih invazivnih vrst plevelov.</w:t>
      </w:r>
    </w:p>
    <w:p w:rsidR="00C02DEB" w:rsidRDefault="00C02DEB" w:rsidP="00C02DEB">
      <w:pPr>
        <w:suppressAutoHyphens w:val="0"/>
        <w:jc w:val="both"/>
        <w:rPr>
          <w:sz w:val="24"/>
          <w:szCs w:val="24"/>
          <w:lang w:val="sl-SI" w:eastAsia="sl-SI"/>
        </w:rPr>
      </w:pPr>
    </w:p>
    <w:p w:rsidR="00C02DEB" w:rsidRPr="0049263E" w:rsidRDefault="00C02DEB" w:rsidP="00C02DEB">
      <w:pPr>
        <w:suppressAutoHyphens w:val="0"/>
        <w:jc w:val="both"/>
        <w:rPr>
          <w:rFonts w:ascii="Arial" w:hAnsi="Arial" w:cs="Arial"/>
          <w:i/>
          <w:sz w:val="22"/>
          <w:szCs w:val="22"/>
          <w:lang w:val="sl-SI" w:eastAsia="sl-SI"/>
        </w:rPr>
      </w:pPr>
      <w:proofErr w:type="spellStart"/>
      <w:r w:rsidRPr="0049263E">
        <w:rPr>
          <w:rFonts w:ascii="Arial" w:hAnsi="Arial" w:cs="Arial"/>
          <w:i/>
          <w:sz w:val="22"/>
          <w:szCs w:val="22"/>
          <w:lang w:val="sl-SI" w:eastAsia="sl-SI"/>
        </w:rPr>
        <w:t>ABSTRACT</w:t>
      </w:r>
      <w:proofErr w:type="spellEnd"/>
    </w:p>
    <w:p w:rsidR="00C02DEB" w:rsidRPr="0049263E" w:rsidRDefault="00C02DEB" w:rsidP="00C02DEB">
      <w:pPr>
        <w:suppressAutoHyphens w:val="0"/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C02DEB" w:rsidRPr="0049263E" w:rsidRDefault="00C02DEB" w:rsidP="00C52AE8">
      <w:pPr>
        <w:suppressAutoHyphens w:val="0"/>
        <w:rPr>
          <w:rFonts w:ascii="Arial" w:hAnsi="Arial" w:cs="Arial"/>
          <w:b/>
          <w:sz w:val="22"/>
          <w:szCs w:val="22"/>
          <w:lang w:eastAsia="sl-SI"/>
        </w:rPr>
      </w:pPr>
      <w:r w:rsidRPr="0049263E">
        <w:rPr>
          <w:rFonts w:ascii="Arial" w:hAnsi="Arial" w:cs="Arial"/>
          <w:b/>
          <w:sz w:val="22"/>
          <w:szCs w:val="22"/>
          <w:lang w:eastAsia="sl-SI"/>
        </w:rPr>
        <w:t>The efficacy of herbicides in controlling new invasive weeds in soybean crops</w:t>
      </w:r>
    </w:p>
    <w:p w:rsidR="00C02DEB" w:rsidRPr="0049263E" w:rsidRDefault="00C02DEB" w:rsidP="00C02DEB">
      <w:pPr>
        <w:suppressAutoHyphens w:val="0"/>
        <w:jc w:val="both"/>
        <w:rPr>
          <w:rFonts w:ascii="Arial" w:hAnsi="Arial" w:cs="Arial"/>
          <w:sz w:val="22"/>
          <w:szCs w:val="22"/>
          <w:lang w:eastAsia="sl-SI"/>
        </w:rPr>
      </w:pPr>
    </w:p>
    <w:p w:rsidR="00C02DEB" w:rsidRPr="0049263E" w:rsidRDefault="00C02DEB" w:rsidP="00C02DEB">
      <w:pPr>
        <w:suppressAutoHyphens w:val="0"/>
        <w:jc w:val="both"/>
        <w:rPr>
          <w:rFonts w:ascii="Arial" w:hAnsi="Arial" w:cs="Arial"/>
          <w:sz w:val="22"/>
          <w:szCs w:val="22"/>
          <w:lang w:eastAsia="sl-SI"/>
        </w:rPr>
      </w:pPr>
      <w:r w:rsidRPr="0049263E">
        <w:rPr>
          <w:rFonts w:ascii="Arial" w:hAnsi="Arial" w:cs="Arial"/>
          <w:sz w:val="22"/>
          <w:szCs w:val="22"/>
          <w:lang w:eastAsia="sl-SI"/>
        </w:rPr>
        <w:t xml:space="preserve">The biological efficacy of herbicides to control new non-native invasive weeds in soybean crops </w:t>
      </w:r>
      <w:proofErr w:type="gramStart"/>
      <w:r w:rsidRPr="0049263E">
        <w:rPr>
          <w:rFonts w:ascii="Arial" w:hAnsi="Arial" w:cs="Arial"/>
          <w:sz w:val="22"/>
          <w:szCs w:val="22"/>
          <w:lang w:eastAsia="sl-SI"/>
        </w:rPr>
        <w:t>was studied</w:t>
      </w:r>
      <w:proofErr w:type="gramEnd"/>
      <w:r w:rsidRPr="0049263E">
        <w:rPr>
          <w:rFonts w:ascii="Arial" w:hAnsi="Arial" w:cs="Arial"/>
          <w:sz w:val="22"/>
          <w:szCs w:val="22"/>
          <w:lang w:eastAsia="sl-SI"/>
        </w:rPr>
        <w:t xml:space="preserve"> in a field trial carried out during the 2014 season. The trial was designed as a randomized</w:t>
      </w:r>
      <w:bookmarkStart w:id="0" w:name="_GoBack"/>
      <w:bookmarkEnd w:id="0"/>
      <w:r w:rsidRPr="0049263E">
        <w:rPr>
          <w:rFonts w:ascii="Arial" w:hAnsi="Arial" w:cs="Arial"/>
          <w:sz w:val="22"/>
          <w:szCs w:val="22"/>
          <w:lang w:eastAsia="sl-SI"/>
        </w:rPr>
        <w:t xml:space="preserve"> block design with </w:t>
      </w:r>
      <w:proofErr w:type="gramStart"/>
      <w:r w:rsidRPr="0049263E">
        <w:rPr>
          <w:rFonts w:ascii="Arial" w:hAnsi="Arial" w:cs="Arial"/>
          <w:sz w:val="22"/>
          <w:szCs w:val="22"/>
          <w:lang w:eastAsia="sl-SI"/>
        </w:rPr>
        <w:t>9</w:t>
      </w:r>
      <w:proofErr w:type="gramEnd"/>
      <w:r w:rsidRPr="0049263E">
        <w:rPr>
          <w:rFonts w:ascii="Arial" w:hAnsi="Arial" w:cs="Arial"/>
          <w:sz w:val="22"/>
          <w:szCs w:val="22"/>
          <w:lang w:eastAsia="sl-SI"/>
        </w:rPr>
        <w:t xml:space="preserve"> treatments (herbicide programmes) in four replications.  </w:t>
      </w:r>
      <w:proofErr w:type="gramStart"/>
      <w:r w:rsidRPr="0049263E">
        <w:rPr>
          <w:rFonts w:ascii="Arial" w:hAnsi="Arial" w:cs="Arial"/>
          <w:sz w:val="22"/>
          <w:szCs w:val="22"/>
          <w:lang w:eastAsia="sl-SI"/>
        </w:rPr>
        <w:t>The herbicides were applied in a spray volume of 350 l ha</w:t>
      </w:r>
      <w:r w:rsidRPr="0049263E">
        <w:rPr>
          <w:rFonts w:ascii="Arial" w:hAnsi="Arial" w:cs="Arial"/>
          <w:sz w:val="22"/>
          <w:szCs w:val="22"/>
          <w:vertAlign w:val="superscript"/>
          <w:lang w:eastAsia="sl-SI"/>
        </w:rPr>
        <w:t>-1</w:t>
      </w:r>
      <w:r w:rsidRPr="0049263E">
        <w:rPr>
          <w:rFonts w:ascii="Arial" w:hAnsi="Arial" w:cs="Arial"/>
          <w:sz w:val="22"/>
          <w:szCs w:val="22"/>
          <w:lang w:eastAsia="sl-SI"/>
        </w:rPr>
        <w:t xml:space="preserve"> by a knapsack sprayer powered by compressed air during two different soybean growth periods</w:t>
      </w:r>
      <w:proofErr w:type="gramEnd"/>
      <w:r w:rsidRPr="0049263E">
        <w:rPr>
          <w:rFonts w:ascii="Arial" w:hAnsi="Arial" w:cs="Arial"/>
          <w:sz w:val="22"/>
          <w:szCs w:val="22"/>
          <w:lang w:eastAsia="sl-SI"/>
        </w:rPr>
        <w:t xml:space="preserve">.  Evaluations of herbicide efficacy for controlling weeds belonging to the genera </w:t>
      </w:r>
      <w:r w:rsidRPr="0049263E">
        <w:rPr>
          <w:rFonts w:ascii="Arial" w:hAnsi="Arial" w:cs="Arial"/>
          <w:i/>
          <w:sz w:val="22"/>
          <w:szCs w:val="22"/>
          <w:lang w:eastAsia="sl-SI"/>
        </w:rPr>
        <w:t>Ambrosia</w:t>
      </w:r>
      <w:r w:rsidRPr="0049263E">
        <w:rPr>
          <w:rFonts w:ascii="Arial" w:hAnsi="Arial" w:cs="Arial"/>
          <w:sz w:val="22"/>
          <w:szCs w:val="22"/>
          <w:lang w:eastAsia="sl-SI"/>
        </w:rPr>
        <w:t xml:space="preserve">, </w:t>
      </w:r>
      <w:proofErr w:type="spellStart"/>
      <w:r w:rsidRPr="0049263E">
        <w:rPr>
          <w:rFonts w:ascii="Arial" w:hAnsi="Arial" w:cs="Arial"/>
          <w:i/>
          <w:sz w:val="22"/>
          <w:szCs w:val="22"/>
          <w:lang w:eastAsia="sl-SI"/>
        </w:rPr>
        <w:t>Amaranthus</w:t>
      </w:r>
      <w:proofErr w:type="spellEnd"/>
      <w:r w:rsidRPr="0049263E">
        <w:rPr>
          <w:rFonts w:ascii="Arial" w:hAnsi="Arial" w:cs="Arial"/>
          <w:sz w:val="22"/>
          <w:szCs w:val="22"/>
    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<w:szCs w:val="22"/>
          <w:lang w:eastAsia="sl-SI"/>
        </w:rPr>
        <w:t>Iva</w:t>
      </w:r>
      <w:r w:rsidRPr="0049263E">
        <w:rPr>
          <w:rFonts w:ascii="Arial" w:hAnsi="Arial" w:cs="Arial"/>
          <w:sz w:val="22"/>
          <w:szCs w:val="22"/>
    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<w:szCs w:val="22"/>
          <w:lang w:eastAsia="sl-SI"/>
        </w:rPr>
        <w:t>Datura</w:t>
      </w:r>
      <w:r w:rsidRPr="0049263E">
        <w:rPr>
          <w:rFonts w:ascii="Arial" w:hAnsi="Arial" w:cs="Arial"/>
          <w:sz w:val="22"/>
          <w:szCs w:val="22"/>
          <w:lang w:eastAsia="sl-SI"/>
        </w:rPr>
        <w:t xml:space="preserve">, </w:t>
      </w:r>
      <w:proofErr w:type="spellStart"/>
      <w:r w:rsidRPr="0049263E">
        <w:rPr>
          <w:rFonts w:ascii="Arial" w:hAnsi="Arial" w:cs="Arial"/>
          <w:i/>
          <w:sz w:val="22"/>
          <w:szCs w:val="22"/>
          <w:lang w:eastAsia="sl-SI"/>
        </w:rPr>
        <w:t>Sida</w:t>
      </w:r>
      <w:proofErr w:type="spellEnd"/>
      <w:r w:rsidRPr="0049263E">
        <w:rPr>
          <w:rFonts w:ascii="Arial" w:hAnsi="Arial" w:cs="Arial"/>
          <w:sz w:val="22"/>
          <w:szCs w:val="22"/>
          <w:lang w:eastAsia="sl-SI"/>
        </w:rPr>
        <w:t xml:space="preserve">, </w:t>
      </w:r>
      <w:proofErr w:type="spellStart"/>
      <w:r w:rsidRPr="0049263E">
        <w:rPr>
          <w:rFonts w:ascii="Arial" w:hAnsi="Arial" w:cs="Arial"/>
          <w:i/>
          <w:sz w:val="22"/>
          <w:szCs w:val="22"/>
          <w:lang w:eastAsia="sl-SI"/>
        </w:rPr>
        <w:t>Bidens</w:t>
      </w:r>
      <w:proofErr w:type="spellEnd"/>
      <w:r w:rsidRPr="0049263E">
        <w:rPr>
          <w:rFonts w:ascii="Arial" w:hAnsi="Arial" w:cs="Arial"/>
          <w:sz w:val="22"/>
          <w:szCs w:val="22"/>
    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<w:szCs w:val="22"/>
          <w:lang w:eastAsia="sl-SI"/>
        </w:rPr>
        <w:t xml:space="preserve">Solanum </w:t>
      </w:r>
      <w:r w:rsidRPr="0049263E">
        <w:rPr>
          <w:rFonts w:ascii="Arial" w:hAnsi="Arial" w:cs="Arial"/>
          <w:sz w:val="22"/>
          <w:szCs w:val="22"/>
          <w:lang w:eastAsia="sl-SI"/>
        </w:rPr>
        <w:t xml:space="preserve">and </w:t>
      </w:r>
      <w:proofErr w:type="spellStart"/>
      <w:r w:rsidRPr="0049263E">
        <w:rPr>
          <w:rFonts w:ascii="Arial" w:hAnsi="Arial" w:cs="Arial"/>
          <w:i/>
          <w:sz w:val="22"/>
          <w:szCs w:val="22"/>
          <w:lang w:eastAsia="sl-SI"/>
        </w:rPr>
        <w:t>Ipomea</w:t>
      </w:r>
      <w:proofErr w:type="spellEnd"/>
      <w:r w:rsidRPr="0049263E">
        <w:rPr>
          <w:rFonts w:ascii="Arial" w:hAnsi="Arial" w:cs="Arial"/>
          <w:sz w:val="22"/>
          <w:szCs w:val="22"/>
          <w:lang w:eastAsia="sl-SI"/>
        </w:rPr>
        <w:t xml:space="preserve"> </w:t>
      </w:r>
      <w:proofErr w:type="gramStart"/>
      <w:r w:rsidRPr="0049263E">
        <w:rPr>
          <w:rFonts w:ascii="Arial" w:hAnsi="Arial" w:cs="Arial"/>
          <w:sz w:val="22"/>
          <w:szCs w:val="22"/>
          <w:lang w:eastAsia="sl-SI"/>
        </w:rPr>
        <w:t>were done</w:t>
      </w:r>
      <w:proofErr w:type="gramEnd"/>
      <w:r w:rsidRPr="0049263E">
        <w:rPr>
          <w:rFonts w:ascii="Arial" w:hAnsi="Arial" w:cs="Arial"/>
          <w:sz w:val="22"/>
          <w:szCs w:val="22"/>
          <w:lang w:eastAsia="sl-SI"/>
        </w:rPr>
        <w:t xml:space="preserve"> twice within a season. The efficacy data of individual herbicide mixtures for the control of individual weed species </w:t>
      </w:r>
      <w:proofErr w:type="gramStart"/>
      <w:r w:rsidRPr="0049263E">
        <w:rPr>
          <w:rFonts w:ascii="Arial" w:hAnsi="Arial" w:cs="Arial"/>
          <w:sz w:val="22"/>
          <w:szCs w:val="22"/>
          <w:lang w:eastAsia="sl-SI"/>
        </w:rPr>
        <w:t>are presented</w:t>
      </w:r>
      <w:proofErr w:type="gramEnd"/>
      <w:r w:rsidRPr="0049263E">
        <w:rPr>
          <w:rFonts w:ascii="Arial" w:hAnsi="Arial" w:cs="Arial"/>
          <w:sz w:val="22"/>
          <w:szCs w:val="22"/>
          <w:lang w:eastAsia="sl-SI"/>
        </w:rPr>
        <w:t xml:space="preserve">. Herbicides registered for weed control in soybean crops in Slovenia do not provide reliable control of the studied invasive weeds. </w:t>
      </w:r>
    </w:p>
    <w:p w:rsidR="001B3DE1" w:rsidRDefault="001B3DE1"/>
    <w:sectPr w:rsidR="001B3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EB"/>
    <w:rsid w:val="001B3DE1"/>
    <w:rsid w:val="0060245A"/>
    <w:rsid w:val="00C02DEB"/>
    <w:rsid w:val="00C5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4D1A4-19DE-4C2C-B4A9-F24B30FE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2D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Vidrih, Matej</dc:creator>
  <cp:keywords/>
  <dc:description/>
  <cp:lastModifiedBy>Vidrih, Matej</cp:lastModifiedBy>
  <cp:revision>2</cp:revision>
  <dcterms:created xsi:type="dcterms:W3CDTF">2016-06-09T12:33:00Z</dcterms:created>
  <dcterms:modified xsi:type="dcterms:W3CDTF">2016-06-09T13:00:00Z</dcterms:modified>
</cp:coreProperties>
</file>